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D8" w:rsidRDefault="00CE4A99" w:rsidP="00F47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3.2</w:t>
      </w:r>
      <w:r w:rsidR="00F47DCE" w:rsidRPr="00F47DCE">
        <w:rPr>
          <w:rFonts w:ascii="Times New Roman" w:hAnsi="Times New Roman" w:cs="Times New Roman"/>
          <w:b/>
          <w:sz w:val="24"/>
          <w:szCs w:val="24"/>
        </w:rPr>
        <w:t xml:space="preserve"> Study Guide </w:t>
      </w:r>
      <w:r w:rsidR="00F47DCE">
        <w:rPr>
          <w:rFonts w:ascii="Times New Roman" w:hAnsi="Times New Roman" w:cs="Times New Roman"/>
          <w:b/>
          <w:sz w:val="24"/>
          <w:szCs w:val="24"/>
        </w:rPr>
        <w:t>(11</w:t>
      </w:r>
      <w:r w:rsidR="00F47DCE" w:rsidRPr="00F47D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47DCE">
        <w:rPr>
          <w:rFonts w:ascii="Times New Roman" w:hAnsi="Times New Roman" w:cs="Times New Roman"/>
          <w:b/>
          <w:sz w:val="24"/>
          <w:szCs w:val="24"/>
        </w:rPr>
        <w:t>)</w:t>
      </w:r>
    </w:p>
    <w:p w:rsidR="00F47DCE" w:rsidRDefault="00F47DCE" w:rsidP="00F47DCE">
      <w:pPr>
        <w:rPr>
          <w:rFonts w:ascii="Times New Roman" w:hAnsi="Times New Roman" w:cs="Times New Roman"/>
          <w:b/>
          <w:sz w:val="24"/>
          <w:szCs w:val="24"/>
        </w:rPr>
      </w:pPr>
    </w:p>
    <w:p w:rsidR="00CE4A99" w:rsidRDefault="00CE4A99" w:rsidP="00F47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To what extent was the twenties a social and cultural reaction against the progressive idealism that existed before and during World War I? </w:t>
      </w:r>
    </w:p>
    <w:p w:rsidR="00CE4A99" w:rsidRDefault="00CE4A99" w:rsidP="00F47DCE">
      <w:pPr>
        <w:rPr>
          <w:rFonts w:ascii="Times New Roman" w:hAnsi="Times New Roman" w:cs="Times New Roman"/>
          <w:sz w:val="24"/>
          <w:szCs w:val="24"/>
        </w:rPr>
      </w:pPr>
    </w:p>
    <w:p w:rsidR="00CE4A99" w:rsidRDefault="00CE4A99" w:rsidP="00F47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“The 1920s reflected national conflicts over social, cultural, and religious values.” </w:t>
      </w:r>
      <w:r w:rsidRPr="00CE4A99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this statement</w:t>
      </w:r>
      <w:r w:rsidRPr="00CE4A99">
        <w:rPr>
          <w:rFonts w:ascii="Times New Roman" w:hAnsi="Times New Roman" w:cs="Times New Roman"/>
          <w:sz w:val="24"/>
          <w:szCs w:val="24"/>
        </w:rPr>
        <w:t xml:space="preserve"> with specific evidence from on</w:t>
      </w:r>
      <w:bookmarkStart w:id="0" w:name="_GoBack"/>
      <w:bookmarkEnd w:id="0"/>
      <w:r w:rsidRPr="00CE4A99">
        <w:rPr>
          <w:rFonts w:ascii="Times New Roman" w:hAnsi="Times New Roman" w:cs="Times New Roman"/>
          <w:sz w:val="24"/>
          <w:szCs w:val="24"/>
        </w:rPr>
        <w:t>e or more countries in the region.</w:t>
      </w:r>
    </w:p>
    <w:p w:rsidR="00CE4A99" w:rsidRDefault="00CE4A99" w:rsidP="00F47DCE">
      <w:pPr>
        <w:rPr>
          <w:rFonts w:ascii="Times New Roman" w:hAnsi="Times New Roman" w:cs="Times New Roman"/>
          <w:sz w:val="24"/>
          <w:szCs w:val="24"/>
        </w:rPr>
      </w:pPr>
    </w:p>
    <w:p w:rsidR="00CE4A99" w:rsidRPr="00CE4A99" w:rsidRDefault="00CE4A99" w:rsidP="00F47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“The three Republican presidents of the 1920s were ideologically similar.” Assess the validity of this statement. </w:t>
      </w:r>
    </w:p>
    <w:sectPr w:rsidR="00CE4A99" w:rsidRPr="00CE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CE"/>
    <w:rsid w:val="001C63D8"/>
    <w:rsid w:val="00CE4A99"/>
    <w:rsid w:val="00F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773A"/>
  <w15:chartTrackingRefBased/>
  <w15:docId w15:val="{110C526C-673A-4267-9D7C-743716F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2020-02-21T13:29:00Z</dcterms:created>
  <dcterms:modified xsi:type="dcterms:W3CDTF">2020-02-21T13:36:00Z</dcterms:modified>
</cp:coreProperties>
</file>